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325F0" w14:textId="42264127" w:rsidR="005E7182" w:rsidRPr="00DD23B7" w:rsidRDefault="004D7D59" w:rsidP="005E7182">
      <w:pPr>
        <w:pStyle w:val="Header"/>
        <w:tabs>
          <w:tab w:val="right" w:pos="9639"/>
        </w:tabs>
        <w:rPr>
          <w:bCs/>
          <w:noProof w:val="0"/>
          <w:sz w:val="24"/>
          <w:szCs w:val="24"/>
        </w:rPr>
      </w:pPr>
      <w:bookmarkStart w:id="0" w:name="_Hlk37418177"/>
      <w:bookmarkStart w:id="1" w:name="_Hlk148433929"/>
      <w:r w:rsidRPr="00B266B0">
        <w:rPr>
          <w:bCs/>
          <w:noProof w:val="0"/>
          <w:sz w:val="24"/>
          <w:szCs w:val="24"/>
        </w:rPr>
        <w:t>3GPP T</w:t>
      </w:r>
      <w:bookmarkStart w:id="2" w:name="_Ref452454252"/>
      <w:bookmarkEnd w:id="2"/>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29bis</w:t>
      </w:r>
      <w:r w:rsidR="005E7182">
        <w:tab/>
      </w:r>
      <w:r w:rsidR="003F0C5D" w:rsidRPr="003F0C5D">
        <w:rPr>
          <w:bCs/>
          <w:noProof w:val="0"/>
          <w:sz w:val="24"/>
          <w:szCs w:val="24"/>
        </w:rPr>
        <w:t>R3-257066</w:t>
      </w:r>
      <w:bookmarkStart w:id="3" w:name="_GoBack"/>
      <w:bookmarkEnd w:id="3"/>
    </w:p>
    <w:bookmarkEnd w:id="0"/>
    <w:bookmarkEnd w:id="1"/>
    <w:p w14:paraId="3591D07B" w14:textId="63273893" w:rsidR="00607A7F" w:rsidRPr="00137C44" w:rsidRDefault="00862F12" w:rsidP="00607A7F">
      <w:pPr>
        <w:pStyle w:val="Header"/>
        <w:rPr>
          <w:bCs/>
          <w:noProof w:val="0"/>
          <w:sz w:val="24"/>
          <w:szCs w:val="24"/>
        </w:rPr>
      </w:pPr>
      <w:r>
        <w:rPr>
          <w:sz w:val="24"/>
        </w:rPr>
        <w:t>Prague</w:t>
      </w:r>
      <w:r w:rsidRPr="00D731CF">
        <w:rPr>
          <w:sz w:val="24"/>
        </w:rPr>
        <w:t xml:space="preserve">, </w:t>
      </w:r>
      <w:r>
        <w:rPr>
          <w:sz w:val="24"/>
        </w:rPr>
        <w:t>CZ</w:t>
      </w:r>
      <w:r w:rsidRPr="00D731CF">
        <w:rPr>
          <w:sz w:val="24"/>
        </w:rPr>
        <w:t xml:space="preserve">, </w:t>
      </w:r>
      <w:r>
        <w:rPr>
          <w:sz w:val="24"/>
        </w:rPr>
        <w:t>13</w:t>
      </w:r>
      <w:r w:rsidRPr="004179B4">
        <w:rPr>
          <w:sz w:val="24"/>
          <w:vertAlign w:val="superscript"/>
        </w:rPr>
        <w:t>th</w:t>
      </w:r>
      <w:r>
        <w:rPr>
          <w:sz w:val="24"/>
        </w:rPr>
        <w:t xml:space="preserve"> – 17</w:t>
      </w:r>
      <w:r w:rsidRPr="000D6488">
        <w:rPr>
          <w:sz w:val="24"/>
          <w:vertAlign w:val="superscript"/>
        </w:rPr>
        <w:t>nd</w:t>
      </w:r>
      <w:r>
        <w:rPr>
          <w:sz w:val="24"/>
        </w:rPr>
        <w:t xml:space="preserve"> October, </w:t>
      </w:r>
      <w:r w:rsidRPr="00D731CF">
        <w:rPr>
          <w:sz w:val="24"/>
        </w:rPr>
        <w:t>202</w:t>
      </w:r>
      <w:r>
        <w:rPr>
          <w:sz w:val="24"/>
        </w:rPr>
        <w:t>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287DDC45"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317C6C">
        <w:rPr>
          <w:rFonts w:cs="Arial"/>
          <w:b/>
          <w:bCs/>
          <w:sz w:val="24"/>
          <w:lang w:val="en-US"/>
        </w:rPr>
        <w:t>2.2</w:t>
      </w:r>
    </w:p>
    <w:p w14:paraId="30E02942" w14:textId="4D9D743F"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902EB7">
        <w:rPr>
          <w:rFonts w:ascii="Arial" w:hAnsi="Arial" w:cs="Arial"/>
          <w:b/>
          <w:bCs/>
        </w:rPr>
        <w:t>Jio Platforms</w:t>
      </w:r>
    </w:p>
    <w:p w14:paraId="30E02943" w14:textId="1E362FB0" w:rsidR="0034111C" w:rsidRPr="00DD23B7" w:rsidRDefault="0034111C" w:rsidP="001D3E33">
      <w:pPr>
        <w:tabs>
          <w:tab w:val="left" w:pos="1620"/>
        </w:tabs>
        <w:ind w:left="1985" w:hanging="198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1F5916">
        <w:rPr>
          <w:rFonts w:ascii="Arial" w:hAnsi="Arial" w:cs="Arial"/>
          <w:b/>
          <w:bCs/>
        </w:rPr>
        <w:t xml:space="preserve">Discussion on 6G </w:t>
      </w:r>
      <w:r w:rsidR="00317C6C">
        <w:rPr>
          <w:rFonts w:ascii="Arial" w:hAnsi="Arial" w:cs="Arial"/>
          <w:b/>
          <w:bCs/>
        </w:rPr>
        <w:t>RAN Functions and Architecture</w:t>
      </w:r>
      <w:r w:rsidR="001F5916">
        <w:rPr>
          <w:rFonts w:ascii="Arial" w:hAnsi="Arial" w:cs="Arial"/>
          <w:b/>
          <w:bCs/>
        </w:rPr>
        <w:t xml:space="preserve"> </w:t>
      </w:r>
      <w:r w:rsidR="00561184">
        <w:rPr>
          <w:rFonts w:ascii="Arial" w:hAnsi="Arial" w:cs="Arial"/>
          <w:b/>
          <w:bCs/>
        </w:rPr>
        <w:t xml:space="preserve"> </w:t>
      </w:r>
    </w:p>
    <w:p w14:paraId="11685FF7" w14:textId="0C5BA29A"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862F12">
        <w:rPr>
          <w:rFonts w:ascii="Arial" w:hAnsi="Arial" w:cs="Arial"/>
          <w:b/>
          <w:bCs/>
        </w:rPr>
        <w:t>Discussion</w:t>
      </w:r>
    </w:p>
    <w:p w14:paraId="161BFF99" w14:textId="60508191" w:rsidR="00622D8C" w:rsidRDefault="00EE7FA7" w:rsidP="00622D8C">
      <w:pPr>
        <w:pStyle w:val="Heading1"/>
      </w:pPr>
      <w:r w:rsidRPr="003E16DD">
        <w:t>Introduction</w:t>
      </w:r>
      <w:bookmarkStart w:id="4" w:name="_Hlk510705081"/>
    </w:p>
    <w:p w14:paraId="432C2C15" w14:textId="77777777" w:rsidR="00622D8C" w:rsidRDefault="00622D8C" w:rsidP="00622D8C">
      <w:pPr>
        <w:overflowPunct w:val="0"/>
        <w:autoSpaceDE w:val="0"/>
        <w:autoSpaceDN w:val="0"/>
        <w:adjustRightInd w:val="0"/>
        <w:spacing w:after="180" w:line="240" w:lineRule="auto"/>
        <w:jc w:val="both"/>
        <w:textAlignment w:val="baseline"/>
      </w:pPr>
      <w:r>
        <w:t>During the RAN#109 Plenary meeting in Beijing, several 6G Study Items were discussed, resulting in the consolidation of the document RP-252912, “Study on 6G Radio” [1]. The study acknowledges that an incremental evolution of 5G RAN capabilities will not be sufficient to address the broad set of anticipated 6G use cases, which are expected to impose stringent requirements on performance, scalability, and flexibility.</w:t>
      </w:r>
    </w:p>
    <w:p w14:paraId="619254C0" w14:textId="3BF38EBC" w:rsidR="00796C8B" w:rsidRPr="00796C8B" w:rsidRDefault="00F81AEE" w:rsidP="00F81AEE">
      <w:pPr>
        <w:overflowPunct w:val="0"/>
        <w:autoSpaceDE w:val="0"/>
        <w:autoSpaceDN w:val="0"/>
        <w:adjustRightInd w:val="0"/>
        <w:spacing w:after="180" w:line="240" w:lineRule="auto"/>
        <w:jc w:val="both"/>
        <w:textAlignment w:val="baseline"/>
      </w:pPr>
      <w:r>
        <w:t xml:space="preserve">Among the </w:t>
      </w:r>
      <w:r w:rsidR="00796C8B">
        <w:t xml:space="preserve">detailed objectives </w:t>
      </w:r>
      <w:r>
        <w:t>of the study</w:t>
      </w:r>
      <w:r w:rsidR="00E11013">
        <w:t xml:space="preserve">, </w:t>
      </w:r>
      <w:r w:rsidR="00796C8B" w:rsidRPr="00796C8B">
        <w:t xml:space="preserve">to start </w:t>
      </w:r>
      <w:r w:rsidR="00E11013">
        <w:t xml:space="preserve">discussing and </w:t>
      </w:r>
      <w:r w:rsidR="00796C8B" w:rsidRPr="00796C8B">
        <w:t xml:space="preserve">identifying 6G RAN </w:t>
      </w:r>
      <w:r w:rsidR="00E11013">
        <w:t>General Principles and Requirements, the following</w:t>
      </w:r>
      <w:r w:rsidR="00DD2FA2">
        <w:t xml:space="preserve"> highlighted objectives </w:t>
      </w:r>
      <w:r>
        <w:t>are considered to be important [1]:</w:t>
      </w:r>
    </w:p>
    <w:p w14:paraId="45CA4382" w14:textId="77777777" w:rsidR="00796C8B" w:rsidRPr="00B02ECB" w:rsidRDefault="00796C8B" w:rsidP="00796C8B">
      <w:pPr>
        <w:overflowPunct w:val="0"/>
        <w:autoSpaceDE w:val="0"/>
        <w:autoSpaceDN w:val="0"/>
        <w:adjustRightInd w:val="0"/>
        <w:spacing w:after="180" w:line="240" w:lineRule="auto"/>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The detailed objectives of the study are:</w:t>
      </w:r>
    </w:p>
    <w:p w14:paraId="7B8CB26E" w14:textId="77777777" w:rsidR="00796C8B" w:rsidRPr="00B02ECB" w:rsidRDefault="00796C8B" w:rsidP="00796C8B">
      <w:pPr>
        <w:numPr>
          <w:ilvl w:val="0"/>
          <w:numId w:val="26"/>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Single technology framework based on a stand-alone architecture</w:t>
      </w:r>
      <w:r w:rsidRPr="00B02ECB">
        <w:rPr>
          <w:rFonts w:eastAsia="Times New Roman" w:cstheme="minorHAnsi"/>
          <w:i/>
          <w:iCs/>
          <w:color w:val="000000" w:themeColor="text1"/>
          <w:sz w:val="20"/>
          <w:szCs w:val="20"/>
          <w:lang w:val="en-GB" w:eastAsia="ja-JP"/>
        </w:rPr>
        <w:t xml:space="preserve"> (Note1)</w:t>
      </w:r>
      <w:r w:rsidRPr="00B02ECB">
        <w:rPr>
          <w:rFonts w:eastAsia="Times New Roman" w:cstheme="minorHAnsi"/>
          <w:i/>
          <w:iCs/>
          <w:color w:val="000000" w:themeColor="text1"/>
          <w:sz w:val="20"/>
          <w:szCs w:val="20"/>
          <w:lang w:val="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FA62EDA"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Ensuring appropriate set of functionalities, minimize the adoption of multiple options for the same functionality, avoid excessive configurations, excessive UE capabilities and UE capabilities reporting.</w:t>
      </w:r>
    </w:p>
    <w:p w14:paraId="05605C02"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Energy efficiency and energy saving: both for network and device.</w:t>
      </w:r>
    </w:p>
    <w:p w14:paraId="5CB66109"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 xml:space="preserve">Enhanced spectral efficiency. </w:t>
      </w:r>
    </w:p>
    <w:p w14:paraId="5BB58BD5"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Enhanced overall coverage, focus on cell-edge performance and UL coverage.</w:t>
      </w:r>
    </w:p>
    <w:p w14:paraId="5EC243FE"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Wider channel bandwidth (at least 200MHz) support for 6G deployments at least above 2 GHz, around 7 GHz.</w:t>
      </w:r>
    </w:p>
    <w:p w14:paraId="5DB74A67"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Re-use of existing 5G mid-band (~3.5GHz) site grid for 6G deployments in at least around 7 GHz and targeting comparable coverage to 5G mid-band.</w:t>
      </w:r>
    </w:p>
    <w:p w14:paraId="5BAE372B"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Target scalable and forward compatible design for diverse device types.</w:t>
      </w:r>
    </w:p>
    <w:p w14:paraId="45876016"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Improved spectrum utilization and operations taking into account diverse spectrum allocations.</w:t>
      </w:r>
    </w:p>
    <w:p w14:paraId="757E024F"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Aim at using common 6G Radio design, which meets mobile broadband service requirements as high priority, to also meet vertical needs.</w:t>
      </w:r>
    </w:p>
    <w:p w14:paraId="7E2B7420"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Aim at a harmonized 6G Radio design for TN and NTN, including their integration.</w:t>
      </w:r>
    </w:p>
    <w:p w14:paraId="6412F153" w14:textId="77777777" w:rsidR="00796C8B" w:rsidRPr="00B02ECB" w:rsidRDefault="00796C8B" w:rsidP="00796C8B">
      <w:pPr>
        <w:numPr>
          <w:ilvl w:val="1"/>
          <w:numId w:val="27"/>
        </w:numPr>
        <w:overflowPunct w:val="0"/>
        <w:autoSpaceDE w:val="0"/>
        <w:autoSpaceDN w:val="0"/>
        <w:adjustRightInd w:val="0"/>
        <w:spacing w:after="120" w:line="240" w:lineRule="auto"/>
        <w:contextualSpacing/>
        <w:textAlignment w:val="baseline"/>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System simplification, including reducing configuration complexity, enabling more efficient Cell/UE management, etc.</w:t>
      </w:r>
    </w:p>
    <w:p w14:paraId="1AE42C09" w14:textId="77777777" w:rsidR="00B02ECB" w:rsidRDefault="00B02ECB" w:rsidP="00551C04">
      <w:pPr>
        <w:jc w:val="both"/>
        <w:rPr>
          <w:lang w:val="en-GB"/>
        </w:rPr>
      </w:pPr>
    </w:p>
    <w:p w14:paraId="4B8A8D61" w14:textId="580E1A46" w:rsidR="00B02ECB" w:rsidRDefault="00B02ECB" w:rsidP="00551C04">
      <w:pPr>
        <w:jc w:val="both"/>
        <w:rPr>
          <w:lang w:val="en-GB"/>
        </w:rPr>
      </w:pPr>
      <w:r>
        <w:rPr>
          <w:lang w:val="en-GB"/>
        </w:rPr>
        <w:t xml:space="preserve">Moreover </w:t>
      </w:r>
      <w:r w:rsidRPr="00B02ECB">
        <w:rPr>
          <w:lang w:val="en-GB"/>
        </w:rPr>
        <w:t>In the pursuit of a transformative 6G architecture, NTT DOCOMO's RP-252870 outlines a vision that emphasizes simplicity, scalability, and adaptability</w:t>
      </w:r>
      <w:r>
        <w:rPr>
          <w:lang w:val="en-GB"/>
        </w:rPr>
        <w:t>, as following [2]:</w:t>
      </w:r>
    </w:p>
    <w:p w14:paraId="7C450723" w14:textId="77777777" w:rsidR="00B02ECB" w:rsidRPr="00B02ECB" w:rsidRDefault="00B02ECB" w:rsidP="00B02ECB">
      <w:pPr>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The RAN design for the 6G Radio Access Technologies shall be designed to fulfil the following requirements:</w:t>
      </w:r>
    </w:p>
    <w:p w14:paraId="7F2FCA97"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support standalone RAN architecture.</w:t>
      </w:r>
    </w:p>
    <w:p w14:paraId="677BECE0"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shall support Multi-RAT Spectrum Sharing between 6GR and NR.</w:t>
      </w:r>
    </w:p>
    <w:p w14:paraId="183B4E7B"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support inter-RAT mobility between the 6GR and NR.</w:t>
      </w:r>
    </w:p>
    <w:p w14:paraId="363E76E3"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support connectivity through multiple TRPs, either collocated or non-collocated.</w:t>
      </w:r>
    </w:p>
    <w:p w14:paraId="1563B0C5"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lastRenderedPageBreak/>
        <w:t>-</w:t>
      </w:r>
      <w:r w:rsidRPr="00B02ECB">
        <w:rPr>
          <w:rFonts w:eastAsia="Times New Roman" w:cstheme="minorHAnsi"/>
          <w:i/>
          <w:iCs/>
          <w:color w:val="000000" w:themeColor="text1"/>
          <w:sz w:val="20"/>
          <w:szCs w:val="20"/>
          <w:lang w:val="en-GB"/>
        </w:rPr>
        <w:tab/>
        <w:t>The 6G RAT shall support Spectrum Aggregation (e.g. Carrier Aggregation) for both uplink and downlink, and for both co-located and non-co-located TRPs.</w:t>
      </w:r>
    </w:p>
    <w:p w14:paraId="2C8121ED"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3GPP defined interfaces for 6G RAN shall be open for multi-vendor interoperability.</w:t>
      </w:r>
    </w:p>
    <w:p w14:paraId="70FF48F4"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allow for control plane and user plane separation.</w:t>
      </w:r>
    </w:p>
    <w:p w14:paraId="0C9E99E7"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support sharing of the RAN between multiple operators.</w:t>
      </w:r>
    </w:p>
    <w:p w14:paraId="3B82DDB4"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allow for the operation of network slicing.</w:t>
      </w:r>
    </w:p>
    <w:p w14:paraId="2680115E"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be designed considering both terrestrial network and non-terrestrial network.</w:t>
      </w:r>
    </w:p>
    <w:p w14:paraId="1A2707DC" w14:textId="77777777"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6G RAN architecture shall support enhanced service awareness in RAN.</w:t>
      </w:r>
    </w:p>
    <w:p w14:paraId="3012E452" w14:textId="66654C0D" w:rsidR="00B02ECB" w:rsidRPr="00B02ECB" w:rsidRDefault="00B02ECB" w:rsidP="00B02ECB">
      <w:pPr>
        <w:ind w:left="270"/>
        <w:jc w:val="both"/>
        <w:rPr>
          <w:rFonts w:eastAsia="Times New Roman" w:cstheme="minorHAnsi"/>
          <w:i/>
          <w:iCs/>
          <w:color w:val="000000" w:themeColor="text1"/>
          <w:sz w:val="20"/>
          <w:szCs w:val="20"/>
          <w:lang w:val="en-GB"/>
        </w:rPr>
      </w:pPr>
      <w:r w:rsidRPr="00B02ECB">
        <w:rPr>
          <w:rFonts w:eastAsia="Times New Roman" w:cstheme="minorHAnsi"/>
          <w:i/>
          <w:iCs/>
          <w:color w:val="000000" w:themeColor="text1"/>
          <w:sz w:val="20"/>
          <w:szCs w:val="20"/>
          <w:lang w:val="en-GB"/>
        </w:rPr>
        <w:t>-</w:t>
      </w:r>
      <w:r w:rsidRPr="00B02ECB">
        <w:rPr>
          <w:rFonts w:eastAsia="Times New Roman" w:cstheme="minorHAnsi"/>
          <w:i/>
          <w:iCs/>
          <w:color w:val="000000" w:themeColor="text1"/>
          <w:sz w:val="20"/>
          <w:szCs w:val="20"/>
          <w:lang w:val="en-GB"/>
        </w:rPr>
        <w:tab/>
        <w:t>The design of the 6G RAN shall allow enhanced resilience compared to NR if/where applicable.</w:t>
      </w:r>
    </w:p>
    <w:p w14:paraId="258F88EB" w14:textId="07F73A35" w:rsidR="00551C04" w:rsidRPr="00551C04" w:rsidRDefault="00551C04" w:rsidP="00551C04">
      <w:pPr>
        <w:jc w:val="both"/>
        <w:rPr>
          <w:lang w:val="en-GB"/>
        </w:rPr>
      </w:pPr>
      <w:r w:rsidRPr="00551C04">
        <w:rPr>
          <w:lang w:val="en-GB"/>
        </w:rPr>
        <w:t>This contribution emphasizes issues that might arise due t</w:t>
      </w:r>
      <w:r>
        <w:rPr>
          <w:lang w:val="en-GB"/>
        </w:rPr>
        <w:t>o the absence of a direct neigh</w:t>
      </w:r>
      <w:r w:rsidRPr="00551C04">
        <w:rPr>
          <w:lang w:val="en-GB"/>
        </w:rPr>
        <w:t>bo</w:t>
      </w:r>
      <w:r>
        <w:rPr>
          <w:lang w:val="en-GB"/>
        </w:rPr>
        <w:t>u</w:t>
      </w:r>
      <w:r w:rsidRPr="00551C04">
        <w:rPr>
          <w:lang w:val="en-GB"/>
        </w:rPr>
        <w:t>r interface between 5G-NR &amp; 6GR in SA mode.</w:t>
      </w:r>
    </w:p>
    <w:p w14:paraId="0302862A" w14:textId="312CF223" w:rsidR="00C339B0" w:rsidRDefault="00C339B0" w:rsidP="003811D9">
      <w:pPr>
        <w:pStyle w:val="Heading1"/>
        <w:rPr>
          <w:lang w:val="en-US"/>
        </w:rPr>
      </w:pPr>
      <w:r w:rsidRPr="00C339B0">
        <w:rPr>
          <w:lang w:val="en-US"/>
        </w:rPr>
        <w:t>Discussion</w:t>
      </w:r>
      <w:r w:rsidR="00E708B1">
        <w:rPr>
          <w:lang w:val="en-US"/>
        </w:rPr>
        <w:t xml:space="preserve"> </w:t>
      </w:r>
    </w:p>
    <w:p w14:paraId="38E08161" w14:textId="77777777" w:rsidR="00B02ECB" w:rsidRDefault="00B02ECB" w:rsidP="00B02ECB">
      <w:pPr>
        <w:overflowPunct w:val="0"/>
        <w:autoSpaceDE w:val="0"/>
        <w:autoSpaceDN w:val="0"/>
        <w:adjustRightInd w:val="0"/>
        <w:spacing w:after="180" w:line="240" w:lineRule="auto"/>
        <w:jc w:val="both"/>
        <w:textAlignment w:val="baseline"/>
      </w:pPr>
      <w:r>
        <w:t xml:space="preserve">A key objective of RP-252912 is to explore and define the 6G RAN functions and the corresponding logical architecture, providing a foundation for future deployment and system design. The study emphasizes a modular decomposition of RAN functions, enabling flexible functional splits and clear separation between logical roles and physical deployment constraints. This approach facilitates efficient support for diverse service types. The proposed logical architecture aims to clarify functional roles, inter-function interfaces, and control-data relationships, ensuring coherent operation across heterogeneous spectrum bands and device types. </w:t>
      </w:r>
    </w:p>
    <w:p w14:paraId="17D02841" w14:textId="27A4FA11" w:rsidR="00B02ECB" w:rsidRDefault="00B02ECB" w:rsidP="00B02ECB">
      <w:pPr>
        <w:overflowPunct w:val="0"/>
        <w:autoSpaceDE w:val="0"/>
        <w:autoSpaceDN w:val="0"/>
        <w:adjustRightInd w:val="0"/>
        <w:spacing w:after="180" w:line="240" w:lineRule="auto"/>
        <w:jc w:val="both"/>
        <w:textAlignment w:val="baseline"/>
      </w:pPr>
      <w:r>
        <w:t xml:space="preserve">By decoupling functional responsibilities from specific deployment choices [1], the architecture supports dynamic resource allocation, flexible node interconnections, and scalable system operation, which are critical for evolving 6G service demands. Among others energy efficiency, minimized signaling overhead, and reduced configuration complexity are additional guiding considerations, ensuring that both high-performance and power-constrained devices can be effectively served. </w:t>
      </w:r>
    </w:p>
    <w:p w14:paraId="37DFEC94" w14:textId="6E6821BE" w:rsidR="00F03BCC" w:rsidRPr="00F03BCC" w:rsidRDefault="00F03BCC" w:rsidP="00B02ECB">
      <w:pPr>
        <w:overflowPunct w:val="0"/>
        <w:autoSpaceDE w:val="0"/>
        <w:autoSpaceDN w:val="0"/>
        <w:adjustRightInd w:val="0"/>
        <w:spacing w:after="180" w:line="240" w:lineRule="auto"/>
        <w:jc w:val="both"/>
        <w:textAlignment w:val="baseline"/>
        <w:rPr>
          <w:b/>
        </w:rPr>
      </w:pPr>
      <w:r w:rsidRPr="00F03BCC">
        <w:rPr>
          <w:rStyle w:val="Strong"/>
        </w:rPr>
        <w:t>Observation 1:</w:t>
      </w:r>
      <w:r w:rsidRPr="00F03BCC">
        <w:t xml:space="preserve"> </w:t>
      </w:r>
      <w:r w:rsidRPr="00F03BCC">
        <w:rPr>
          <w:b/>
        </w:rPr>
        <w:t>The modular 6G RAN functional decomposition and logical architecture enable flexible de</w:t>
      </w:r>
      <w:r>
        <w:rPr>
          <w:b/>
        </w:rPr>
        <w:t>ployment and scalable operation</w:t>
      </w:r>
      <w:r w:rsidRPr="00F03BCC">
        <w:rPr>
          <w:b/>
        </w:rPr>
        <w:t>.</w:t>
      </w:r>
    </w:p>
    <w:p w14:paraId="4BCF1112" w14:textId="77777777" w:rsidR="0065340D" w:rsidRDefault="00F03BCC" w:rsidP="00F03BCC">
      <w:pPr>
        <w:jc w:val="both"/>
        <w:rPr>
          <w:lang w:val="en-GB"/>
        </w:rPr>
      </w:pPr>
      <w:r w:rsidRPr="00F03BCC">
        <w:rPr>
          <w:lang w:val="en-GB"/>
        </w:rPr>
        <w:t>The envisioned 6G RAN architecture, as discussed in RP-252870, places strong emphasis on modular and flexible functional decomposition, enabling the network to efficiently support diverse service types ranging from immersive applications to massive IoT and integrated sensing. Key functions are distributed in a way that decouples logical roles from physical deployment, allowing operators to dynamically adapt deployments based on service requirements, traffic load, and spectrum availability</w:t>
      </w:r>
      <w:r>
        <w:rPr>
          <w:lang w:val="en-GB"/>
        </w:rPr>
        <w:t xml:space="preserve"> [2]</w:t>
      </w:r>
      <w:r w:rsidRPr="00F03BCC">
        <w:rPr>
          <w:lang w:val="en-GB"/>
        </w:rPr>
        <w:t xml:space="preserve">. This modularity also supports the coexistence of legacy 5G NR deployments and new 6G RAN nodes, while facilitating gradual migration strategies that minimize disruption to ongoing services. </w:t>
      </w:r>
    </w:p>
    <w:p w14:paraId="4B36DA13" w14:textId="4A848AED" w:rsidR="00F03BCC" w:rsidRDefault="0065340D" w:rsidP="00F03BCC">
      <w:pPr>
        <w:jc w:val="both"/>
        <w:rPr>
          <w:lang w:val="en-GB"/>
        </w:rPr>
      </w:pPr>
      <w:r w:rsidRPr="0065340D">
        <w:rPr>
          <w:b/>
          <w:lang w:val="en-GB"/>
        </w:rPr>
        <w:t xml:space="preserve">Observation 2: </w:t>
      </w:r>
      <w:r w:rsidR="00F03BCC" w:rsidRPr="0065340D">
        <w:rPr>
          <w:b/>
          <w:lang w:val="en-GB"/>
        </w:rPr>
        <w:t>By providing a logically unified yet physically flexible framework, the proposed 6G RAN archite</w:t>
      </w:r>
      <w:r w:rsidRPr="0065340D">
        <w:rPr>
          <w:b/>
          <w:lang w:val="en-GB"/>
        </w:rPr>
        <w:t xml:space="preserve">cture lays the foundation for a 6G to 5G inter-operable </w:t>
      </w:r>
      <w:r w:rsidR="00F03BCC" w:rsidRPr="0065340D">
        <w:rPr>
          <w:b/>
          <w:lang w:val="en-GB"/>
        </w:rPr>
        <w:t>network that is both forward-looking and capable of integrating emerging technologies while accommodating the coexistence of legacy systems</w:t>
      </w:r>
      <w:r w:rsidR="00F03BCC" w:rsidRPr="00B02ECB">
        <w:rPr>
          <w:lang w:val="en-GB"/>
        </w:rPr>
        <w:t>.</w:t>
      </w:r>
    </w:p>
    <w:p w14:paraId="75EB8B36" w14:textId="425918D9" w:rsidR="0065340D" w:rsidRPr="004A01C1" w:rsidRDefault="0065340D" w:rsidP="0065340D">
      <w:pPr>
        <w:rPr>
          <w:rFonts w:eastAsia="SimSun"/>
          <w:b/>
          <w:bCs/>
          <w:lang w:eastAsia="zh-CN"/>
        </w:rPr>
      </w:pPr>
      <w:r w:rsidRPr="004A01C1">
        <w:rPr>
          <w:rFonts w:eastAsia="SimSun"/>
          <w:b/>
          <w:bCs/>
          <w:lang w:eastAsia="zh-CN"/>
        </w:rPr>
        <w:t xml:space="preserve">Proposal </w:t>
      </w:r>
      <w:r>
        <w:rPr>
          <w:rFonts w:eastAsia="SimSun"/>
          <w:b/>
          <w:bCs/>
          <w:lang w:eastAsia="zh-CN"/>
        </w:rPr>
        <w:t>1</w:t>
      </w:r>
      <w:r w:rsidRPr="004A01C1">
        <w:rPr>
          <w:rFonts w:eastAsia="SimSun"/>
          <w:b/>
          <w:bCs/>
          <w:lang w:eastAsia="zh-CN"/>
        </w:rPr>
        <w:t xml:space="preserve">: </w:t>
      </w:r>
      <w:r>
        <w:rPr>
          <w:rFonts w:eastAsia="SimSun"/>
          <w:b/>
          <w:bCs/>
          <w:lang w:eastAsia="zh-CN"/>
        </w:rPr>
        <w:t xml:space="preserve">RAN3 should support in the 6G RAN-CN interfaces </w:t>
      </w:r>
      <w:r w:rsidRPr="004A01C1">
        <w:rPr>
          <w:rFonts w:eastAsia="SimSun"/>
          <w:b/>
          <w:bCs/>
          <w:lang w:eastAsia="zh-CN"/>
        </w:rPr>
        <w:t>the existing 5G NG interface procedures</w:t>
      </w:r>
      <w:r>
        <w:rPr>
          <w:rFonts w:eastAsia="SimSun"/>
          <w:b/>
          <w:bCs/>
          <w:lang w:eastAsia="zh-CN"/>
        </w:rPr>
        <w:t xml:space="preserve"> for the available 5G functionalities, to support inter-operability</w:t>
      </w:r>
    </w:p>
    <w:p w14:paraId="592EDD45" w14:textId="77777777" w:rsidR="0065340D" w:rsidRPr="0065340D" w:rsidRDefault="0065340D" w:rsidP="00F03BCC">
      <w:pPr>
        <w:jc w:val="both"/>
      </w:pPr>
    </w:p>
    <w:p w14:paraId="1AA5F215" w14:textId="77777777" w:rsidR="00933465" w:rsidRDefault="00933465" w:rsidP="00F03BCC">
      <w:pPr>
        <w:jc w:val="both"/>
        <w:rPr>
          <w:lang w:val="en-GB"/>
        </w:rPr>
      </w:pPr>
      <w:r w:rsidRPr="00933465">
        <w:rPr>
          <w:lang w:val="en-GB"/>
        </w:rPr>
        <w:lastRenderedPageBreak/>
        <w:t>In the context of</w:t>
      </w:r>
      <w:r>
        <w:rPr>
          <w:lang w:val="en-GB"/>
        </w:rPr>
        <w:t xml:space="preserve"> both documents</w:t>
      </w:r>
      <w:r w:rsidRPr="00933465">
        <w:rPr>
          <w:lang w:val="en-GB"/>
        </w:rPr>
        <w:t xml:space="preserve"> RP-252912 and RP-252870, it is recognized that the evolution toward 6G requires a flexible and future-proof architecture where RAN functions and logical interfaces are clearly defined. A critical aspect of this evolution is the definition of a consistent and interoperable interface between the RAN and Core, ensuring vendor-agnostic integration and long-term migration support. </w:t>
      </w:r>
    </w:p>
    <w:p w14:paraId="669462D6" w14:textId="7E07ED3B" w:rsidR="00933465" w:rsidRDefault="0065340D" w:rsidP="00F03BCC">
      <w:pPr>
        <w:jc w:val="both"/>
        <w:rPr>
          <w:lang w:val="en-GB"/>
        </w:rPr>
      </w:pPr>
      <w:r>
        <w:rPr>
          <w:b/>
          <w:lang w:val="en-GB"/>
        </w:rPr>
        <w:t>Observation 3</w:t>
      </w:r>
      <w:r w:rsidR="00933465" w:rsidRPr="00933465">
        <w:rPr>
          <w:b/>
          <w:lang w:val="en-GB"/>
        </w:rPr>
        <w:t>: The absence of a unified approach risks fragmentation, higher deployment costs, and complexity in interworking across multi-vendor networks.</w:t>
      </w:r>
      <w:r w:rsidR="00933465" w:rsidRPr="00933465">
        <w:rPr>
          <w:lang w:val="en-GB"/>
        </w:rPr>
        <w:t xml:space="preserve"> </w:t>
      </w:r>
    </w:p>
    <w:p w14:paraId="1253F16D" w14:textId="65A099F6" w:rsidR="00933465" w:rsidRDefault="00933465" w:rsidP="00F03BCC">
      <w:pPr>
        <w:jc w:val="both"/>
        <w:rPr>
          <w:lang w:val="en-GB"/>
        </w:rPr>
      </w:pPr>
      <w:r w:rsidRPr="00933465">
        <w:rPr>
          <w:lang w:val="en-GB"/>
        </w:rPr>
        <w:t>Defining such an interface within RAN3 would provide a stable foundation for mobility management, interworking between 5G NR and 6G RAN, and scalable system operation. Therefore, it is proposed that RAN3 shall define an inter-vendor interoperable RAN-CN interface for 6G.</w:t>
      </w:r>
    </w:p>
    <w:p w14:paraId="7182599A" w14:textId="4EC38AE5" w:rsidR="0065340D" w:rsidRPr="0065340D" w:rsidRDefault="0065340D" w:rsidP="0065340D">
      <w:pPr>
        <w:jc w:val="both"/>
        <w:rPr>
          <w:b/>
          <w:bCs/>
          <w:lang w:val="en-GB"/>
        </w:rPr>
      </w:pPr>
      <w:r w:rsidRPr="0065340D">
        <w:rPr>
          <w:b/>
          <w:bCs/>
          <w:lang w:val="en-GB"/>
        </w:rPr>
        <w:t xml:space="preserve">Proposal </w:t>
      </w:r>
      <w:r>
        <w:rPr>
          <w:b/>
          <w:bCs/>
          <w:lang w:val="en-GB"/>
        </w:rPr>
        <w:t>2</w:t>
      </w:r>
      <w:r w:rsidRPr="0065340D">
        <w:rPr>
          <w:b/>
          <w:bCs/>
          <w:lang w:val="en-GB"/>
        </w:rPr>
        <w:t xml:space="preserve">: RAN3 </w:t>
      </w:r>
      <w:r w:rsidRPr="00FA526D">
        <w:rPr>
          <w:b/>
          <w:bCs/>
        </w:rPr>
        <w:t>is invited to consider</w:t>
      </w:r>
      <w:r>
        <w:rPr>
          <w:b/>
          <w:bCs/>
          <w:lang w:val="en-GB"/>
        </w:rPr>
        <w:t xml:space="preserve"> 6G</w:t>
      </w:r>
      <w:r w:rsidRPr="0065340D">
        <w:rPr>
          <w:b/>
          <w:bCs/>
          <w:lang w:val="en-GB"/>
        </w:rPr>
        <w:t xml:space="preserve"> </w:t>
      </w:r>
      <w:r>
        <w:rPr>
          <w:b/>
          <w:bCs/>
          <w:lang w:val="en-GB"/>
        </w:rPr>
        <w:t xml:space="preserve">capability in </w:t>
      </w:r>
      <w:r w:rsidRPr="0065340D">
        <w:rPr>
          <w:b/>
          <w:bCs/>
          <w:lang w:val="en-GB"/>
        </w:rPr>
        <w:t>inter</w:t>
      </w:r>
      <w:r>
        <w:rPr>
          <w:b/>
          <w:bCs/>
          <w:lang w:val="en-GB"/>
        </w:rPr>
        <w:t>-</w:t>
      </w:r>
      <w:r w:rsidRPr="0065340D">
        <w:rPr>
          <w:b/>
          <w:bCs/>
          <w:lang w:val="en-GB"/>
        </w:rPr>
        <w:t>vendor interoperable RAN-CN interface</w:t>
      </w:r>
    </w:p>
    <w:p w14:paraId="539B94E3" w14:textId="77777777" w:rsidR="00FA526D" w:rsidRDefault="00F03BCC" w:rsidP="00F03BCC">
      <w:pPr>
        <w:jc w:val="both"/>
        <w:rPr>
          <w:lang w:val="en-GB"/>
        </w:rPr>
      </w:pPr>
      <w:r w:rsidRPr="00F03BCC">
        <w:rPr>
          <w:lang w:val="en-GB"/>
        </w:rPr>
        <w:t>A notable distinction of 6G RAN compared to 5G NR is the absence of a direct neighbo</w:t>
      </w:r>
      <w:r>
        <w:rPr>
          <w:lang w:val="en-GB"/>
        </w:rPr>
        <w:t>u</w:t>
      </w:r>
      <w:r w:rsidRPr="00F03BCC">
        <w:rPr>
          <w:lang w:val="en-GB"/>
        </w:rPr>
        <w:t xml:space="preserve">r interface in standalone mode between 5G NR and 6GR nodes. This absence implies that interworking, mobility management, and resource coordination between the two generations will require enhanced support from higher-layer procedures or intermediate aggregation points rather than relying on traditional direct Xn-style interfaces. </w:t>
      </w:r>
    </w:p>
    <w:p w14:paraId="60FC53C9" w14:textId="282104E1" w:rsidR="00FA526D" w:rsidRPr="00FA526D" w:rsidRDefault="00FA526D" w:rsidP="00F03BCC">
      <w:pPr>
        <w:jc w:val="both"/>
        <w:rPr>
          <w:b/>
          <w:lang w:val="en-GB"/>
        </w:rPr>
      </w:pPr>
      <w:r w:rsidRPr="00FA526D">
        <w:rPr>
          <w:b/>
        </w:rPr>
        <w:t>O</w:t>
      </w:r>
      <w:r w:rsidR="0065340D">
        <w:rPr>
          <w:b/>
        </w:rPr>
        <w:t>bservation 4</w:t>
      </w:r>
      <w:r w:rsidRPr="00FA526D">
        <w:rPr>
          <w:b/>
        </w:rPr>
        <w:t xml:space="preserve">: The lack of a direct </w:t>
      </w:r>
      <w:r w:rsidR="0065340D" w:rsidRPr="00FA526D">
        <w:rPr>
          <w:b/>
        </w:rPr>
        <w:t>neighbor</w:t>
      </w:r>
      <w:r w:rsidRPr="00FA526D">
        <w:rPr>
          <w:b/>
        </w:rPr>
        <w:t xml:space="preserve"> </w:t>
      </w:r>
      <w:r w:rsidR="0065340D">
        <w:rPr>
          <w:b/>
        </w:rPr>
        <w:t xml:space="preserve">6GR-5GNR RAN </w:t>
      </w:r>
      <w:r w:rsidRPr="00FA526D">
        <w:rPr>
          <w:b/>
        </w:rPr>
        <w:t>interface in standalone mode necessitates enhanced higher-layer coordination and well-defined logical interfaces to ensure seamless inter-generation mobility and service continuity.</w:t>
      </w:r>
    </w:p>
    <w:p w14:paraId="3BB1C164" w14:textId="3F68D37C" w:rsidR="00F03BCC" w:rsidRDefault="0065340D" w:rsidP="00F03BCC">
      <w:pPr>
        <w:jc w:val="both"/>
        <w:rPr>
          <w:b/>
          <w:lang w:val="en-GB"/>
        </w:rPr>
      </w:pPr>
      <w:r>
        <w:rPr>
          <w:b/>
          <w:lang w:val="en-GB"/>
        </w:rPr>
        <w:t>Proposal 3</w:t>
      </w:r>
      <w:r w:rsidR="00FA526D" w:rsidRPr="00FA526D">
        <w:rPr>
          <w:b/>
          <w:lang w:val="en-GB"/>
        </w:rPr>
        <w:t xml:space="preserve">: RAN3 </w:t>
      </w:r>
      <w:r w:rsidR="00FA526D" w:rsidRPr="00FA526D">
        <w:rPr>
          <w:b/>
          <w:bCs/>
        </w:rPr>
        <w:t xml:space="preserve">is invited to consider studying </w:t>
      </w:r>
      <w:r w:rsidR="00F03BCC" w:rsidRPr="00FA526D">
        <w:rPr>
          <w:b/>
          <w:lang w:val="en-GB"/>
        </w:rPr>
        <w:t>and propos</w:t>
      </w:r>
      <w:r w:rsidR="00FA526D" w:rsidRPr="00FA526D">
        <w:rPr>
          <w:b/>
          <w:lang w:val="en-GB"/>
        </w:rPr>
        <w:t>ing</w:t>
      </w:r>
      <w:r w:rsidR="00F03BCC" w:rsidRPr="00FA526D">
        <w:rPr>
          <w:b/>
          <w:lang w:val="en-GB"/>
        </w:rPr>
        <w:t xml:space="preserve"> logical interfaces and control plane coordination to ensure seamless service continuity, particularly in mixed-generation deployment scenarios.</w:t>
      </w:r>
    </w:p>
    <w:p w14:paraId="779B5D18" w14:textId="04BED7C2" w:rsidR="00C339B0" w:rsidRDefault="00C339B0" w:rsidP="00C339B0">
      <w:pPr>
        <w:pStyle w:val="Heading1"/>
        <w:rPr>
          <w:lang w:val="en-US"/>
        </w:rPr>
      </w:pPr>
      <w:r>
        <w:rPr>
          <w:lang w:val="en-US"/>
        </w:rPr>
        <w:t>Conclusion</w:t>
      </w:r>
    </w:p>
    <w:bookmarkEnd w:id="4"/>
    <w:p w14:paraId="134D7118" w14:textId="77777777" w:rsidR="000771CB" w:rsidRDefault="000771CB" w:rsidP="001B53F7">
      <w:pPr>
        <w:jc w:val="both"/>
      </w:pPr>
      <w:r w:rsidRPr="000771CB">
        <w:t xml:space="preserve">RP-252912 and RP-252870 propose a modular and interoperable 6G RAN architecture where logically well-defined interfaces are critical to ensure flexibility, scalability, and smooth 5G migration. To avoid fragmentation and complexity in deployment, a vendor-independent RAN-CN interface is required for support of multi-vendor environments while ensuring long-term interoperability. </w:t>
      </w:r>
    </w:p>
    <w:p w14:paraId="7E6E85BD" w14:textId="77777777" w:rsidR="000771CB" w:rsidRDefault="000771CB" w:rsidP="001B53F7">
      <w:pPr>
        <w:jc w:val="both"/>
      </w:pPr>
      <w:r w:rsidRPr="000771CB">
        <w:t xml:space="preserve">As an important observation, the absence of an instant 6G-5G neighboring interface highlights the importance of clear-cut coordination mechanisms at higher levels to realize clear service continuity. </w:t>
      </w:r>
    </w:p>
    <w:p w14:paraId="4765B0A0" w14:textId="710D99E5" w:rsidR="001B53F7" w:rsidRPr="001B53F7" w:rsidRDefault="000771CB" w:rsidP="001B53F7">
      <w:pPr>
        <w:jc w:val="both"/>
      </w:pPr>
      <w:r w:rsidRPr="000771CB">
        <w:t>RAN3 is therefore well-placed to define and align such interfaces, laying a good groundwork for future 6G deployments.</w:t>
      </w:r>
    </w:p>
    <w:p w14:paraId="2D728A5D" w14:textId="77777777" w:rsidR="001B53F7" w:rsidRPr="00F03BCC" w:rsidRDefault="001B53F7" w:rsidP="001B53F7">
      <w:pPr>
        <w:overflowPunct w:val="0"/>
        <w:autoSpaceDE w:val="0"/>
        <w:autoSpaceDN w:val="0"/>
        <w:adjustRightInd w:val="0"/>
        <w:spacing w:after="180" w:line="240" w:lineRule="auto"/>
        <w:jc w:val="both"/>
        <w:textAlignment w:val="baseline"/>
        <w:rPr>
          <w:b/>
        </w:rPr>
      </w:pPr>
      <w:r w:rsidRPr="00F03BCC">
        <w:rPr>
          <w:rStyle w:val="Strong"/>
        </w:rPr>
        <w:t>Observation 1:</w:t>
      </w:r>
      <w:r w:rsidRPr="00F03BCC">
        <w:t xml:space="preserve"> </w:t>
      </w:r>
      <w:r w:rsidRPr="00F03BCC">
        <w:rPr>
          <w:b/>
        </w:rPr>
        <w:t>The modular 6G RAN functional decomposition and logical architecture enable flexible de</w:t>
      </w:r>
      <w:r>
        <w:rPr>
          <w:b/>
        </w:rPr>
        <w:t>ployment and scalable operation</w:t>
      </w:r>
      <w:r w:rsidRPr="00F03BCC">
        <w:rPr>
          <w:b/>
        </w:rPr>
        <w:t>.</w:t>
      </w:r>
    </w:p>
    <w:p w14:paraId="20948533" w14:textId="77777777" w:rsidR="001B53F7" w:rsidRDefault="001B53F7" w:rsidP="001B53F7">
      <w:pPr>
        <w:jc w:val="both"/>
        <w:rPr>
          <w:lang w:val="en-GB"/>
        </w:rPr>
      </w:pPr>
      <w:r w:rsidRPr="0065340D">
        <w:rPr>
          <w:b/>
          <w:lang w:val="en-GB"/>
        </w:rPr>
        <w:t>Observation 2: By providing a logically unified yet physically flexible framework, the proposed 6G RAN architecture lays the foundation for a 6G to 5G inter-operable network that is both forward-looking and capable of integrating emerging technologies while accommodating the coexistence of legacy systems</w:t>
      </w:r>
      <w:r w:rsidRPr="00B02ECB">
        <w:rPr>
          <w:lang w:val="en-GB"/>
        </w:rPr>
        <w:t>.</w:t>
      </w:r>
    </w:p>
    <w:p w14:paraId="7CC6AD29" w14:textId="77777777" w:rsidR="001B53F7" w:rsidRPr="004A01C1" w:rsidRDefault="001B53F7" w:rsidP="001B53F7">
      <w:pPr>
        <w:rPr>
          <w:rFonts w:eastAsia="SimSun"/>
          <w:b/>
          <w:bCs/>
          <w:lang w:eastAsia="zh-CN"/>
        </w:rPr>
      </w:pPr>
      <w:r w:rsidRPr="004A01C1">
        <w:rPr>
          <w:rFonts w:eastAsia="SimSun"/>
          <w:b/>
          <w:bCs/>
          <w:lang w:eastAsia="zh-CN"/>
        </w:rPr>
        <w:t xml:space="preserve">Proposal </w:t>
      </w:r>
      <w:r>
        <w:rPr>
          <w:rFonts w:eastAsia="SimSun"/>
          <w:b/>
          <w:bCs/>
          <w:lang w:eastAsia="zh-CN"/>
        </w:rPr>
        <w:t>1</w:t>
      </w:r>
      <w:r w:rsidRPr="004A01C1">
        <w:rPr>
          <w:rFonts w:eastAsia="SimSun"/>
          <w:b/>
          <w:bCs/>
          <w:lang w:eastAsia="zh-CN"/>
        </w:rPr>
        <w:t xml:space="preserve">: </w:t>
      </w:r>
      <w:r>
        <w:rPr>
          <w:rFonts w:eastAsia="SimSun"/>
          <w:b/>
          <w:bCs/>
          <w:lang w:eastAsia="zh-CN"/>
        </w:rPr>
        <w:t xml:space="preserve">RAN3 should support in the 6G RAN-CN interfaces </w:t>
      </w:r>
      <w:r w:rsidRPr="004A01C1">
        <w:rPr>
          <w:rFonts w:eastAsia="SimSun"/>
          <w:b/>
          <w:bCs/>
          <w:lang w:eastAsia="zh-CN"/>
        </w:rPr>
        <w:t>the existing 5G NG interface procedures</w:t>
      </w:r>
      <w:r>
        <w:rPr>
          <w:rFonts w:eastAsia="SimSun"/>
          <w:b/>
          <w:bCs/>
          <w:lang w:eastAsia="zh-CN"/>
        </w:rPr>
        <w:t xml:space="preserve"> for the available 5G functionalities, to support inter-operability</w:t>
      </w:r>
    </w:p>
    <w:p w14:paraId="48F723E2" w14:textId="77777777" w:rsidR="001B53F7" w:rsidRDefault="001B53F7" w:rsidP="001B53F7">
      <w:pPr>
        <w:jc w:val="both"/>
        <w:rPr>
          <w:lang w:val="en-GB"/>
        </w:rPr>
      </w:pPr>
      <w:r>
        <w:rPr>
          <w:b/>
          <w:lang w:val="en-GB"/>
        </w:rPr>
        <w:t>Observation 3</w:t>
      </w:r>
      <w:r w:rsidRPr="00933465">
        <w:rPr>
          <w:b/>
          <w:lang w:val="en-GB"/>
        </w:rPr>
        <w:t>: The absence of a unified approach risks fragmentation, higher deployment costs, and complexity in interworking across multi-vendor networks.</w:t>
      </w:r>
      <w:r w:rsidRPr="00933465">
        <w:rPr>
          <w:lang w:val="en-GB"/>
        </w:rPr>
        <w:t xml:space="preserve"> </w:t>
      </w:r>
    </w:p>
    <w:p w14:paraId="472C1A1A" w14:textId="77777777" w:rsidR="001B53F7" w:rsidRPr="0065340D" w:rsidRDefault="001B53F7" w:rsidP="001B53F7">
      <w:pPr>
        <w:jc w:val="both"/>
        <w:rPr>
          <w:b/>
          <w:bCs/>
          <w:lang w:val="en-GB"/>
        </w:rPr>
      </w:pPr>
      <w:r w:rsidRPr="0065340D">
        <w:rPr>
          <w:b/>
          <w:bCs/>
          <w:lang w:val="en-GB"/>
        </w:rPr>
        <w:t xml:space="preserve">Proposal </w:t>
      </w:r>
      <w:r>
        <w:rPr>
          <w:b/>
          <w:bCs/>
          <w:lang w:val="en-GB"/>
        </w:rPr>
        <w:t>2</w:t>
      </w:r>
      <w:r w:rsidRPr="0065340D">
        <w:rPr>
          <w:b/>
          <w:bCs/>
          <w:lang w:val="en-GB"/>
        </w:rPr>
        <w:t xml:space="preserve">: RAN3 </w:t>
      </w:r>
      <w:r w:rsidRPr="00FA526D">
        <w:rPr>
          <w:b/>
          <w:bCs/>
        </w:rPr>
        <w:t>is invited to consider</w:t>
      </w:r>
      <w:r>
        <w:rPr>
          <w:b/>
          <w:bCs/>
          <w:lang w:val="en-GB"/>
        </w:rPr>
        <w:t xml:space="preserve"> 6G</w:t>
      </w:r>
      <w:r w:rsidRPr="0065340D">
        <w:rPr>
          <w:b/>
          <w:bCs/>
          <w:lang w:val="en-GB"/>
        </w:rPr>
        <w:t xml:space="preserve"> </w:t>
      </w:r>
      <w:r>
        <w:rPr>
          <w:b/>
          <w:bCs/>
          <w:lang w:val="en-GB"/>
        </w:rPr>
        <w:t xml:space="preserve">capability in </w:t>
      </w:r>
      <w:r w:rsidRPr="0065340D">
        <w:rPr>
          <w:b/>
          <w:bCs/>
          <w:lang w:val="en-GB"/>
        </w:rPr>
        <w:t>inter</w:t>
      </w:r>
      <w:r>
        <w:rPr>
          <w:b/>
          <w:bCs/>
          <w:lang w:val="en-GB"/>
        </w:rPr>
        <w:t>-</w:t>
      </w:r>
      <w:r w:rsidRPr="0065340D">
        <w:rPr>
          <w:b/>
          <w:bCs/>
          <w:lang w:val="en-GB"/>
        </w:rPr>
        <w:t>vendor interoperable RAN-CN interface</w:t>
      </w:r>
    </w:p>
    <w:p w14:paraId="41E99FBF" w14:textId="77777777" w:rsidR="001B53F7" w:rsidRPr="00FA526D" w:rsidRDefault="001B53F7" w:rsidP="001B53F7">
      <w:pPr>
        <w:jc w:val="both"/>
        <w:rPr>
          <w:b/>
          <w:lang w:val="en-GB"/>
        </w:rPr>
      </w:pPr>
      <w:r w:rsidRPr="00FA526D">
        <w:rPr>
          <w:b/>
        </w:rPr>
        <w:lastRenderedPageBreak/>
        <w:t>O</w:t>
      </w:r>
      <w:r>
        <w:rPr>
          <w:b/>
        </w:rPr>
        <w:t>bservation 4</w:t>
      </w:r>
      <w:r w:rsidRPr="00FA526D">
        <w:rPr>
          <w:b/>
        </w:rPr>
        <w:t xml:space="preserve">: The lack of a direct neighbor </w:t>
      </w:r>
      <w:r>
        <w:rPr>
          <w:b/>
        </w:rPr>
        <w:t xml:space="preserve">6GR-5GNR RAN </w:t>
      </w:r>
      <w:r w:rsidRPr="00FA526D">
        <w:rPr>
          <w:b/>
        </w:rPr>
        <w:t>interface in standalone mode necessitates enhanced higher-layer coordination and well-defined logical interfaces to ensure seamless inter-generation mobility and service continuity.</w:t>
      </w:r>
    </w:p>
    <w:p w14:paraId="3AA23230" w14:textId="77777777" w:rsidR="001B53F7" w:rsidRDefault="001B53F7" w:rsidP="001B53F7">
      <w:pPr>
        <w:jc w:val="both"/>
        <w:rPr>
          <w:b/>
          <w:lang w:val="en-GB"/>
        </w:rPr>
      </w:pPr>
      <w:r>
        <w:rPr>
          <w:b/>
          <w:lang w:val="en-GB"/>
        </w:rPr>
        <w:t>Proposal 3</w:t>
      </w:r>
      <w:r w:rsidRPr="00FA526D">
        <w:rPr>
          <w:b/>
          <w:lang w:val="en-GB"/>
        </w:rPr>
        <w:t xml:space="preserve">: RAN3 </w:t>
      </w:r>
      <w:r w:rsidRPr="00FA526D">
        <w:rPr>
          <w:b/>
          <w:bCs/>
        </w:rPr>
        <w:t xml:space="preserve">is invited to consider studying </w:t>
      </w:r>
      <w:r w:rsidRPr="00FA526D">
        <w:rPr>
          <w:b/>
          <w:lang w:val="en-GB"/>
        </w:rPr>
        <w:t>and proposing logical interfaces and control plane coordination to ensure seamless service continuity, particularly in mixed-generation deployment scenarios.</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570C2778" w14:textId="3D706A39" w:rsidR="00796C8B" w:rsidRDefault="00796C8B" w:rsidP="00796C8B">
      <w:pPr>
        <w:pStyle w:val="Reference"/>
        <w:numPr>
          <w:ilvl w:val="0"/>
          <w:numId w:val="0"/>
        </w:numPr>
      </w:pPr>
      <w:r>
        <w:t>[1] RP-252912: New SID: Study on 6G Radio</w:t>
      </w:r>
    </w:p>
    <w:p w14:paraId="76381093" w14:textId="113CAA80" w:rsidR="00796C8B" w:rsidRDefault="00796C8B" w:rsidP="00796C8B">
      <w:pPr>
        <w:pStyle w:val="Reference"/>
        <w:numPr>
          <w:ilvl w:val="0"/>
          <w:numId w:val="0"/>
        </w:numPr>
      </w:pPr>
      <w:r>
        <w:t xml:space="preserve">[2] </w:t>
      </w:r>
      <w:r w:rsidR="00B02ECB" w:rsidRPr="00B02ECB">
        <w:t>RP-252870, pCR for 38.914 on Requirements for architecture and migration for 6G, NTT DOCOMO (moderator)</w:t>
      </w:r>
    </w:p>
    <w:sectPr w:rsidR="00796C8B"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6639D" w14:textId="77777777" w:rsidR="006C1611" w:rsidRDefault="006C1611">
      <w:r>
        <w:separator/>
      </w:r>
    </w:p>
  </w:endnote>
  <w:endnote w:type="continuationSeparator" w:id="0">
    <w:p w14:paraId="3241D682" w14:textId="77777777" w:rsidR="006C1611" w:rsidRDefault="006C1611">
      <w:r>
        <w:continuationSeparator/>
      </w:r>
    </w:p>
  </w:endnote>
  <w:endnote w:type="continuationNotice" w:id="1">
    <w:p w14:paraId="7D7A2094" w14:textId="77777777" w:rsidR="006C1611" w:rsidRDefault="006C16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3283F" w14:textId="77777777" w:rsidR="006C1611" w:rsidRDefault="006C1611">
      <w:r>
        <w:separator/>
      </w:r>
    </w:p>
  </w:footnote>
  <w:footnote w:type="continuationSeparator" w:id="0">
    <w:p w14:paraId="56A54F28" w14:textId="77777777" w:rsidR="006C1611" w:rsidRDefault="006C1611">
      <w:r>
        <w:continuationSeparator/>
      </w:r>
    </w:p>
  </w:footnote>
  <w:footnote w:type="continuationNotice" w:id="1">
    <w:p w14:paraId="442F6A02" w14:textId="77777777" w:rsidR="006C1611" w:rsidRDefault="006C16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8E37A99"/>
    <w:multiLevelType w:val="hybridMultilevel"/>
    <w:tmpl w:val="032AB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380B41"/>
    <w:multiLevelType w:val="hybridMultilevel"/>
    <w:tmpl w:val="BF1E5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AC62335"/>
    <w:multiLevelType w:val="hybridMultilevel"/>
    <w:tmpl w:val="6D44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3"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336A2C31"/>
    <w:multiLevelType w:val="hybridMultilevel"/>
    <w:tmpl w:val="25767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7D678C"/>
    <w:multiLevelType w:val="hybridMultilevel"/>
    <w:tmpl w:val="63A05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A513515"/>
    <w:multiLevelType w:val="hybridMultilevel"/>
    <w:tmpl w:val="8228B318"/>
    <w:lvl w:ilvl="0" w:tplc="0E96D514">
      <w:start w:val="1"/>
      <w:numFmt w:val="decimal"/>
      <w:lvlText w:val="%1."/>
      <w:lvlJc w:val="left"/>
      <w:pPr>
        <w:ind w:left="720" w:hanging="360"/>
      </w:pPr>
    </w:lvl>
    <w:lvl w:ilvl="1" w:tplc="0F94F4D8">
      <w:start w:val="1"/>
      <w:numFmt w:val="lowerLetter"/>
      <w:lvlText w:val="%2."/>
      <w:lvlJc w:val="left"/>
      <w:pPr>
        <w:ind w:left="1440" w:hanging="360"/>
      </w:pPr>
    </w:lvl>
    <w:lvl w:ilvl="2" w:tplc="982A0B52">
      <w:start w:val="1"/>
      <w:numFmt w:val="lowerRoman"/>
      <w:lvlText w:val="%3."/>
      <w:lvlJc w:val="right"/>
      <w:pPr>
        <w:ind w:left="2160" w:hanging="180"/>
      </w:pPr>
    </w:lvl>
    <w:lvl w:ilvl="3" w:tplc="9AEAB134">
      <w:start w:val="1"/>
      <w:numFmt w:val="decimal"/>
      <w:lvlText w:val="%4."/>
      <w:lvlJc w:val="left"/>
      <w:pPr>
        <w:ind w:left="2880" w:hanging="360"/>
      </w:pPr>
    </w:lvl>
    <w:lvl w:ilvl="4" w:tplc="B8B45150">
      <w:start w:val="1"/>
      <w:numFmt w:val="lowerLetter"/>
      <w:lvlText w:val="%5."/>
      <w:lvlJc w:val="left"/>
      <w:pPr>
        <w:ind w:left="3600" w:hanging="360"/>
      </w:pPr>
    </w:lvl>
    <w:lvl w:ilvl="5" w:tplc="E996CB12">
      <w:start w:val="1"/>
      <w:numFmt w:val="lowerRoman"/>
      <w:lvlText w:val="%6."/>
      <w:lvlJc w:val="right"/>
      <w:pPr>
        <w:ind w:left="4320" w:hanging="180"/>
      </w:pPr>
    </w:lvl>
    <w:lvl w:ilvl="6" w:tplc="03063480">
      <w:start w:val="1"/>
      <w:numFmt w:val="decimal"/>
      <w:lvlText w:val="%7."/>
      <w:lvlJc w:val="left"/>
      <w:pPr>
        <w:ind w:left="5040" w:hanging="360"/>
      </w:pPr>
    </w:lvl>
    <w:lvl w:ilvl="7" w:tplc="64D83CBE">
      <w:start w:val="1"/>
      <w:numFmt w:val="lowerLetter"/>
      <w:lvlText w:val="%8."/>
      <w:lvlJc w:val="left"/>
      <w:pPr>
        <w:ind w:left="5760" w:hanging="360"/>
      </w:pPr>
    </w:lvl>
    <w:lvl w:ilvl="8" w:tplc="B7D267A2">
      <w:start w:val="1"/>
      <w:numFmt w:val="lowerRoman"/>
      <w:lvlText w:val="%9."/>
      <w:lvlJc w:val="right"/>
      <w:pPr>
        <w:ind w:left="6480" w:hanging="180"/>
      </w:pPr>
    </w:lvl>
  </w:abstractNum>
  <w:abstractNum w:abstractNumId="20"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B2463D"/>
    <w:multiLevelType w:val="hybridMultilevel"/>
    <w:tmpl w:val="CDBC5ACE"/>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37C5911"/>
    <w:multiLevelType w:val="hybridMultilevel"/>
    <w:tmpl w:val="3CC852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1C57023"/>
    <w:multiLevelType w:val="hybridMultilevel"/>
    <w:tmpl w:val="819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109B4"/>
    <w:multiLevelType w:val="hybridMultilevel"/>
    <w:tmpl w:val="E62A8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1"/>
  </w:num>
  <w:num w:numId="3">
    <w:abstractNumId w:val="17"/>
  </w:num>
  <w:num w:numId="4">
    <w:abstractNumId w:val="2"/>
  </w:num>
  <w:num w:numId="5">
    <w:abstractNumId w:val="16"/>
  </w:num>
  <w:num w:numId="6">
    <w:abstractNumId w:val="5"/>
  </w:num>
  <w:num w:numId="7">
    <w:abstractNumId w:val="4"/>
  </w:num>
  <w:num w:numId="8">
    <w:abstractNumId w:val="20"/>
  </w:num>
  <w:num w:numId="9">
    <w:abstractNumId w:val="12"/>
  </w:num>
  <w:num w:numId="10">
    <w:abstractNumId w:val="22"/>
  </w:num>
  <w:num w:numId="11">
    <w:abstractNumId w:val="12"/>
  </w:num>
  <w:num w:numId="12">
    <w:abstractNumId w:val="20"/>
  </w:num>
  <w:num w:numId="13">
    <w:abstractNumId w:val="12"/>
  </w:num>
  <w:num w:numId="14">
    <w:abstractNumId w:val="13"/>
  </w:num>
  <w:num w:numId="15">
    <w:abstractNumId w:val="28"/>
  </w:num>
  <w:num w:numId="16">
    <w:abstractNumId w:val="4"/>
  </w:num>
  <w:num w:numId="17">
    <w:abstractNumId w:val="26"/>
  </w:num>
  <w:num w:numId="18">
    <w:abstractNumId w:val="10"/>
  </w:num>
  <w:num w:numId="19">
    <w:abstractNumId w:val="14"/>
  </w:num>
  <w:num w:numId="20">
    <w:abstractNumId w:val="29"/>
  </w:num>
  <w:num w:numId="21">
    <w:abstractNumId w:val="6"/>
  </w:num>
  <w:num w:numId="22">
    <w:abstractNumId w:val="30"/>
  </w:num>
  <w:num w:numId="23">
    <w:abstractNumId w:val="15"/>
  </w:num>
  <w:num w:numId="24">
    <w:abstractNumId w:val="7"/>
  </w:num>
  <w:num w:numId="25">
    <w:abstractNumId w:val="9"/>
  </w:num>
  <w:num w:numId="26">
    <w:abstractNumId w:val="21"/>
  </w:num>
  <w:num w:numId="27">
    <w:abstractNumId w:val="27"/>
  </w:num>
  <w:num w:numId="28">
    <w:abstractNumId w:val="24"/>
  </w:num>
  <w:num w:numId="29">
    <w:abstractNumId w:val="18"/>
  </w:num>
  <w:num w:numId="30">
    <w:abstractNumId w:val="8"/>
  </w:num>
  <w:num w:numId="31">
    <w:abstractNumId w:val="1"/>
  </w:num>
  <w:num w:numId="32">
    <w:abstractNumId w:val="25"/>
  </w:num>
  <w:num w:numId="33">
    <w:abstractNumId w:val="3"/>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writeProtection w:recommended="1"/>
  <w:zoom w:percent="100"/>
  <w:removePersonalInformation/>
  <w:removeDateAndTime/>
  <w:printFractionalCharacterWidth/>
  <w:activeWritingStyle w:appName="MSWord" w:lang="en-IN" w:vendorID="64" w:dllVersion="131078" w:nlCheck="1" w:checkStyle="1"/>
  <w:activeWritingStyle w:appName="MSWord" w:lang="en-US" w:vendorID="64" w:dllVersion="131078" w:nlCheck="1" w:checkStyle="1"/>
  <w:activeWritingStyle w:appName="MSWord" w:lang="en-GB"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EF7"/>
    <w:rsid w:val="001A4741"/>
    <w:rsid w:val="001A5510"/>
    <w:rsid w:val="001A5C7B"/>
    <w:rsid w:val="001A5E19"/>
    <w:rsid w:val="001A63D8"/>
    <w:rsid w:val="001A6542"/>
    <w:rsid w:val="001B001E"/>
    <w:rsid w:val="001B01FA"/>
    <w:rsid w:val="001B0832"/>
    <w:rsid w:val="001B1051"/>
    <w:rsid w:val="001B18A7"/>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0C5D"/>
    <w:rsid w:val="003F2525"/>
    <w:rsid w:val="003F38C7"/>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8076D"/>
    <w:rsid w:val="0048134D"/>
    <w:rsid w:val="00481624"/>
    <w:rsid w:val="0048176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30C"/>
    <w:rsid w:val="0057731D"/>
    <w:rsid w:val="00577835"/>
    <w:rsid w:val="00580793"/>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071"/>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107AB"/>
    <w:rsid w:val="007108D3"/>
    <w:rsid w:val="0071118B"/>
    <w:rsid w:val="00711C66"/>
    <w:rsid w:val="00711E13"/>
    <w:rsid w:val="00712EDA"/>
    <w:rsid w:val="0071303E"/>
    <w:rsid w:val="007136D0"/>
    <w:rsid w:val="00714250"/>
    <w:rsid w:val="00714B81"/>
    <w:rsid w:val="007155A9"/>
    <w:rsid w:val="007158E1"/>
    <w:rsid w:val="00716AA6"/>
    <w:rsid w:val="0071705B"/>
    <w:rsid w:val="00720505"/>
    <w:rsid w:val="00723324"/>
    <w:rsid w:val="007236A3"/>
    <w:rsid w:val="007239B6"/>
    <w:rsid w:val="007240B2"/>
    <w:rsid w:val="0072490A"/>
    <w:rsid w:val="00724B64"/>
    <w:rsid w:val="0072517D"/>
    <w:rsid w:val="00726878"/>
    <w:rsid w:val="007272D2"/>
    <w:rsid w:val="007278DF"/>
    <w:rsid w:val="00730603"/>
    <w:rsid w:val="0073124A"/>
    <w:rsid w:val="00731B79"/>
    <w:rsid w:val="007320A2"/>
    <w:rsid w:val="007327CE"/>
    <w:rsid w:val="00733679"/>
    <w:rsid w:val="00733868"/>
    <w:rsid w:val="00733893"/>
    <w:rsid w:val="00733ADF"/>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48E"/>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366"/>
    <w:rsid w:val="00825E84"/>
    <w:rsid w:val="0082632D"/>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100CB"/>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2ECB"/>
    <w:rsid w:val="00B04048"/>
    <w:rsid w:val="00B04107"/>
    <w:rsid w:val="00B0429A"/>
    <w:rsid w:val="00B04F3D"/>
    <w:rsid w:val="00B05702"/>
    <w:rsid w:val="00B0619C"/>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4BE"/>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2FE2"/>
    <w:rsid w:val="00E635B9"/>
    <w:rsid w:val="00E637A3"/>
    <w:rsid w:val="00E6587E"/>
    <w:rsid w:val="00E65D15"/>
    <w:rsid w:val="00E66CD8"/>
    <w:rsid w:val="00E67285"/>
    <w:rsid w:val="00E67802"/>
    <w:rsid w:val="00E678B9"/>
    <w:rsid w:val="00E67EE5"/>
    <w:rsid w:val="00E67F67"/>
    <w:rsid w:val="00E7013A"/>
    <w:rsid w:val="00E708B1"/>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5A27"/>
    <w:rsid w:val="00EE6E77"/>
    <w:rsid w:val="00EE6F02"/>
    <w:rsid w:val="00EE76A9"/>
    <w:rsid w:val="00EE799E"/>
    <w:rsid w:val="00EE7CA8"/>
    <w:rsid w:val="00EE7FA7"/>
    <w:rsid w:val="00EF0322"/>
    <w:rsid w:val="00EF0B2B"/>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1663"/>
    <w:rsid w:val="00FC1798"/>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0C5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3E16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3F0C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0C5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spacing w:after="0"/>
    </w:pPr>
    <w:rPr>
      <w:rFonts w:ascii="Times" w:eastAsia="Batang" w:hAnsi="Times"/>
      <w:lang w:val="x-none" w:eastAsia="x-none"/>
    </w:rPr>
  </w:style>
  <w:style w:type="character" w:customStyle="1"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lang w:eastAsia="zh-CN"/>
    </w:rPr>
  </w:style>
  <w:style w:type="paragraph" w:customStyle="1" w:styleId="Reference">
    <w:name w:val="Reference"/>
    <w:basedOn w:val="EX"/>
    <w:link w:val="ReferenceChar"/>
    <w:uiPriority w:val="99"/>
    <w:qFormat/>
    <w:rsid w:val="00BB6B61"/>
    <w:pPr>
      <w:numPr>
        <w:numId w:val="7"/>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A9240E"/>
    <w:pPr>
      <w:numPr>
        <w:numId w:val="12"/>
      </w:numPr>
      <w:tabs>
        <w:tab w:val="left" w:pos="1080"/>
      </w:tabs>
      <w:spacing w:after="120"/>
      <w:jc w:val="both"/>
    </w:pPr>
    <w:rPr>
      <w:rFonts w:eastAsia="Times New Roman"/>
      <w:b/>
      <w:bCs/>
      <w:lang w:eastAsia="zh-CN"/>
    </w:rPr>
  </w:style>
  <w:style w:type="paragraph" w:customStyle="1" w:styleId="Observation">
    <w:name w:val="Observation"/>
    <w:basedOn w:val="Proposal"/>
    <w:qFormat/>
    <w:rsid w:val="008847A4"/>
    <w:pPr>
      <w:numPr>
        <w:numId w:val="14"/>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2A4AAA-6DDC-45D8-AF81-5E1EAD304B2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1544</Words>
  <Characters>8802</Characters>
  <Application>Microsoft Office Word</Application>
  <DocSecurity>2</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2025-10-02T17:51:00Z</dcterms:created>
  <dcterms:modified xsi:type="dcterms:W3CDTF">2025-10-02T17:51:00Z</dcterms:modified>
</cp:coreProperties>
</file>